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Power Analysis Collaborative Guide</w:t>
      </w:r>
    </w:p>
    <w:p>
      <w:pPr>
        <w:pStyle w:val="Subtitle"/>
      </w:pPr>
      <w:r>
        <w:t xml:space="preserve">Benchmarked edition snapshot - v0.1</w:t>
      </w:r>
    </w:p>
    <w:bookmarkStart w:id="13" w:name="foundations-of-defensible-power-planning"/>
    <w:p>
      <w:pPr>
        <w:pStyle w:val="Heading1"/>
      </w:pPr>
      <w:r>
        <w:t xml:space="preserve">Foundations of defensible power planning</w:t>
      </w:r>
    </w:p>
    <w:bookmarkStart w:id="9" w:name="what-a-power-analysis-must-specify"/>
    <w:p>
      <w:pPr>
        <w:pStyle w:val="Heading2"/>
      </w:pPr>
      <w:r>
        <w:t xml:space="preserve">What a power analysis must specify</w:t>
      </w:r>
    </w:p>
    <w:p>
      <w:pPr>
        <w:pStyle w:val="FirstParagraph"/>
      </w:pPr>
      <w:r>
        <w:t xml:space="preserve">A reproducible plan requires an analysis model, a target effect parameterization,</w:t>
      </w:r>
      <w:r>
        <w:t xml:space="preserve"> </w:t>
      </w:r>
      <w:r>
        <w:t xml:space="preserve">the design/allocation, a decision rule, and a planning target. “Power = 80%” alone</w:t>
      </w:r>
      <w:r>
        <w:t xml:space="preserve"> </w:t>
      </w:r>
      <w:r>
        <w:t xml:space="preserve">is not a power analysis.</w:t>
      </w:r>
    </w:p>
    <w:bookmarkEnd w:id="9"/>
    <w:bookmarkStart w:id="10" w:name="selecting-an-effect-target"/>
    <w:p>
      <w:pPr>
        <w:pStyle w:val="Heading2"/>
      </w:pPr>
      <w:r>
        <w:t xml:space="preserve">Selecting an effect target</w:t>
      </w:r>
    </w:p>
    <w:p>
      <w:pPr>
        <w:pStyle w:val="FirstParagraph"/>
      </w:pPr>
      <w:r>
        <w:t xml:space="preserve">Prefer a smallest effect size of interest, a justified prior distribution/range, or</w:t>
      </w:r>
      <w:r>
        <w:t xml:space="preserve"> </w:t>
      </w:r>
      <w:r>
        <w:t xml:space="preserve">an external estimate adjusted for uncertainty. Do not mechanically reuse a noisy</w:t>
      </w:r>
      <w:r>
        <w:t xml:space="preserve"> </w:t>
      </w:r>
      <w:r>
        <w:t xml:space="preserve">published estimate. Report sensitivity results over a plausible range when a single</w:t>
      </w:r>
      <w:r>
        <w:t xml:space="preserve"> </w:t>
      </w:r>
      <w:r>
        <w:t xml:space="preserve">target is uncertain.</w:t>
      </w:r>
    </w:p>
    <w:bookmarkEnd w:id="10"/>
    <w:bookmarkStart w:id="11" w:name="analytic-versus-simulation-approaches"/>
    <w:p>
      <w:pPr>
        <w:pStyle w:val="Heading2"/>
      </w:pPr>
      <w:r>
        <w:t xml:space="preserve">Analytic versus simulation approaches</w:t>
      </w:r>
    </w:p>
    <w:p>
      <w:pPr>
        <w:pStyle w:val="FirstParagraph"/>
      </w:pPr>
      <w:r>
        <w:t xml:space="preserve">Use an analytic method only when its assumptions match the intended design and</w:t>
      </w:r>
      <w:r>
        <w:t xml:space="preserve"> </w:t>
      </w:r>
      <w:r>
        <w:t xml:space="preserve">analysis. Use simulation when the design contains dependence, missingness,</w:t>
      </w:r>
      <w:r>
        <w:t xml:space="preserve"> </w:t>
      </w:r>
      <w:r>
        <w:t xml:space="preserve">multiplicity, non-standard outcomes, random effects, or a custom decision rule that</w:t>
      </w:r>
      <w:r>
        <w:t xml:space="preserve"> </w:t>
      </w:r>
      <w:r>
        <w:t xml:space="preserve">the analytic calculator cannot represent. A simulation must generate data and fit the</w:t>
      </w:r>
      <w:r>
        <w:t xml:space="preserve"> </w:t>
      </w:r>
      <w:r>
        <w:t xml:space="preserve">same analysis planned for the study.</w:t>
      </w:r>
    </w:p>
    <w:bookmarkEnd w:id="11"/>
    <w:bookmarkStart w:id="12" w:name="why-post-hoc-power-is-not-the-default"/>
    <w:p>
      <w:pPr>
        <w:pStyle w:val="Heading2"/>
      </w:pPr>
      <w:r>
        <w:t xml:space="preserve">Why post-hoc power is not the default</w:t>
      </w:r>
    </w:p>
    <w:p>
      <w:pPr>
        <w:pStyle w:val="FirstParagraph"/>
      </w:pPr>
      <w:r>
        <w:t xml:space="preserve">Power computed from the observed estimate is mathematically coupled to its p-value</w:t>
      </w:r>
      <w:r>
        <w:t xml:space="preserve"> </w:t>
      </w:r>
      <w:r>
        <w:t xml:space="preserve">and does not supply new evidence about a completed result. It can be mapped for</w:t>
      </w:r>
      <w:r>
        <w:t xml:space="preserve"> </w:t>
      </w:r>
      <w:r>
        <w:t xml:space="preserve">transparency, but it is not a substitute for planning around precision, a meaningful</w:t>
      </w:r>
      <w:r>
        <w:t xml:space="preserve"> </w:t>
      </w:r>
      <w:r>
        <w:t xml:space="preserve">effect, or a prespecified target.</w:t>
      </w:r>
    </w:p>
    <w:bookmarkEnd w:id="12"/>
    <w:bookmarkEnd w:id="13"/>
    <w:bookmarkStart w:id="18" w:name="independent-two-sample-t-test"/>
    <w:p>
      <w:pPr>
        <w:pStyle w:val="Heading1"/>
      </w:pPr>
      <w:r>
        <w:t xml:space="preserve">Independent two-sample t-test</w:t>
      </w:r>
    </w:p>
    <w:bookmarkStart w:id="14" w:name="when-this-chapter-applies"/>
    <w:p>
      <w:pPr>
        <w:pStyle w:val="Heading2"/>
      </w:pPr>
      <w:r>
        <w:t xml:space="preserve">When this chapter applies</w:t>
      </w:r>
    </w:p>
    <w:p>
      <w:pPr>
        <w:pStyle w:val="FirstParagraph"/>
      </w:pPr>
      <w:r>
        <w:t xml:space="preserve">Use this path for an independent two-group comparison when the planned primary</w:t>
      </w:r>
      <w:r>
        <w:t xml:space="preserve"> </w:t>
      </w:r>
      <w:r>
        <w:t xml:space="preserve">analysis is a pooled-variance Student t-test. If unequal population variances are</w:t>
      </w:r>
      <w:r>
        <w:t xml:space="preserve"> </w:t>
      </w:r>
      <w:r>
        <w:t xml:space="preserve">plausible, the planned analysis is Welch’s t-test and requires its own matched</w:t>
      </w:r>
      <w:r>
        <w:t xml:space="preserve"> </w:t>
      </w:r>
      <w:r>
        <w:t xml:space="preserve">scenario; do not reuse the pooled-variance result without review.</w:t>
      </w:r>
    </w:p>
    <w:bookmarkEnd w:id="14"/>
    <w:bookmarkStart w:id="15" w:name="required-inputs"/>
    <w:p>
      <w:pPr>
        <w:pStyle w:val="Heading2"/>
      </w:pPr>
      <w:r>
        <w:t xml:space="preserve">Required inputs</w:t>
      </w:r>
    </w:p>
    <w:p>
      <w:pPr>
        <w:pStyle w:val="Compact"/>
        <w:numPr>
          <w:ilvl w:val="0"/>
          <w:numId w:val="1001"/>
        </w:numPr>
      </w:pPr>
      <w:r>
        <w:t xml:space="preserve">Target standardized mean difference (Cohen’s d), including direction and source.</w:t>
      </w:r>
    </w:p>
    <w:p>
      <w:pPr>
        <w:pStyle w:val="Compact"/>
        <w:numPr>
          <w:ilvl w:val="0"/>
          <w:numId w:val="1001"/>
        </w:numPr>
      </w:pPr>
      <w:r>
        <w:t xml:space="preserve">Alpha, sidedness, desired power, and multiplicity rule.</w:t>
      </w:r>
    </w:p>
    <w:p>
      <w:pPr>
        <w:pStyle w:val="Compact"/>
        <w:numPr>
          <w:ilvl w:val="0"/>
          <w:numId w:val="1001"/>
        </w:numPr>
      </w:pPr>
      <w:r>
        <w:t xml:space="preserve">Allocation ratio and planned analysis.</w:t>
      </w:r>
    </w:p>
    <w:p>
      <w:pPr>
        <w:pStyle w:val="Compact"/>
        <w:numPr>
          <w:ilvl w:val="0"/>
          <w:numId w:val="1001"/>
        </w:numPr>
      </w:pPr>
      <w:r>
        <w:t xml:space="preserve">Attrition rule. The initial benchmark records attrition but does not silently</w:t>
      </w:r>
      <w:r>
        <w:t xml:space="preserve"> </w:t>
      </w:r>
      <w:r>
        <w:t xml:space="preserve">inflate N; users must document the recruitment inflation separately until the</w:t>
      </w:r>
      <w:r>
        <w:t xml:space="preserve"> </w:t>
      </w:r>
      <w:r>
        <w:t xml:space="preserve">attrition adapter is certified.</w:t>
      </w:r>
    </w:p>
    <w:bookmarkEnd w:id="15"/>
    <w:bookmarkStart w:id="16" w:name="verified-example"/>
    <w:p>
      <w:pPr>
        <w:pStyle w:val="Heading2"/>
      </w:pPr>
      <w:r>
        <w:t xml:space="preserve">Verified example</w:t>
      </w:r>
    </w:p>
    <w:p>
      <w:pPr>
        <w:pStyle w:val="FirstParagraph"/>
      </w:pPr>
      <w:r>
        <w:t xml:space="preserve">The initial PowerBench scenario sets d = .40, alpha = .05, two-sided testing, equal</w:t>
      </w:r>
      <w:r>
        <w:t xml:space="preserve"> </w:t>
      </w:r>
      <w:r>
        <w:t xml:space="preserve">allocation, and 80% power. Both its noncentral-t reference and the R</w:t>
      </w:r>
      <w:r>
        <w:t xml:space="preserve"> </w:t>
      </w:r>
      <w:r>
        <w:rPr>
          <w:rStyle w:val="VerbatimChar"/>
        </w:rPr>
        <w:t xml:space="preserve">pwr</w:t>
      </w:r>
      <w:r>
        <w:t xml:space="preserve"> </w:t>
      </w:r>
      <w:r>
        <w:t xml:space="preserve">adapter</w:t>
      </w:r>
      <w:r>
        <w:t xml:space="preserve"> </w:t>
      </w:r>
      <w:r>
        <w:t xml:space="preserve">return 100 participants per group (200 total).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powerbench.run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run</w:t>
      </w:r>
      <w:r>
        <w:br/>
      </w:r>
      <w:r>
        <w:rPr>
          <w:rStyle w:val="NormalTok"/>
        </w:rPr>
        <w:t xml:space="preserve">run(</w:t>
      </w:r>
      <w:r>
        <w:rPr>
          <w:rStyle w:val="StringTok"/>
        </w:rPr>
        <w:t xml:space="preserve">"data/scenarios/two_sample_t_balanced.json"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"artifacts/two_sample_t"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(pwr)</w:t>
      </w:r>
      <w:r>
        <w:br/>
      </w:r>
      <w:r>
        <w:rPr>
          <w:rStyle w:val="FunctionTok"/>
        </w:rPr>
        <w:t xml:space="preserve">pwr.t.test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sig.level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05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power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"two.sample"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alternative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"two.sided"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The code is intentionally tied to the canonical scenario rather than a prose-only</w:t>
      </w:r>
      <w:r>
        <w:t xml:space="preserve"> </w:t>
      </w:r>
      <w:r>
        <w:t xml:space="preserve">number. The generated benchmark report records package version, assumptions, an</w:t>
      </w:r>
      <w:r>
        <w:t xml:space="preserve"> </w:t>
      </w:r>
      <w:r>
        <w:t xml:space="preserve">independent simulation estimate, and Monte Carlo uncertainty.</w:t>
      </w:r>
    </w:p>
    <w:bookmarkEnd w:id="16"/>
    <w:bookmarkStart w:id="17" w:name="report-ready-wording"/>
    <w:p>
      <w:pPr>
        <w:pStyle w:val="Heading2"/>
      </w:pPr>
      <w:r>
        <w:t xml:space="preserve">Report-ready wording</w:t>
      </w:r>
    </w:p>
    <w:p>
      <w:pPr>
        <w:pStyle w:val="FirstParagraph"/>
      </w:pPr>
      <w:r>
        <w:t xml:space="preserve">“We planned a two-sided pooled-variance independent-samples t-test with alpha = .05.</w:t>
      </w:r>
      <w:r>
        <w:t xml:space="preserve"> </w:t>
      </w:r>
      <w:r>
        <w:t xml:space="preserve">For a standardized mean difference of d = .40, 80% power required 100 analyzable</w:t>
      </w:r>
      <w:r>
        <w:t xml:space="preserve"> </w:t>
      </w:r>
      <w:r>
        <w:t xml:space="preserve">participants per group (N = 200); recruitment was increased separately to account</w:t>
      </w:r>
      <w:r>
        <w:t xml:space="preserve"> </w:t>
      </w:r>
      <w:r>
        <w:t xml:space="preserve">for prespecified attrition.”</w:t>
      </w:r>
    </w:p>
    <w:bookmarkEnd w:id="17"/>
    <w:bookmarkEnd w:id="18"/>
    <w:bookmarkStart w:id="25" w:name="verified-common-design-planning"/>
    <w:p>
      <w:pPr>
        <w:pStyle w:val="Heading1"/>
      </w:pPr>
      <w:r>
        <w:t xml:space="preserve">Verified common-design planning</w:t>
      </w:r>
    </w:p>
    <w:bookmarkStart w:id="19" w:name="the-current-verified-core"/>
    <w:p>
      <w:pPr>
        <w:pStyle w:val="Heading2"/>
      </w:pPr>
      <w:r>
        <w:t xml:space="preserve">The current verified core</w:t>
      </w:r>
    </w:p>
    <w:p>
      <w:pPr>
        <w:pStyle w:val="FirstParagraph"/>
      </w:pPr>
      <w:r>
        <w:t xml:space="preserve">This table is a set of</w:t>
      </w:r>
      <w:r>
        <w:t xml:space="preserve"> </w:t>
      </w:r>
      <w:r>
        <w:rPr>
          <w:i/>
          <w:iCs/>
        </w:rPr>
        <w:t xml:space="preserve">worked benchmark cases</w:t>
      </w:r>
      <w:r>
        <w:t xml:space="preserve">, not default targets. Each was checked against an independent Monte Carlo simulation. Use PowerBench Studio to replace inputs and inspect assumptions.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Paired t-test:</w:t>
      </w:r>
      <w:r>
        <w:t xml:space="preserve"> </w:t>
      </w:r>
      <m:oMath>
        <m:sSub>
          <m:e>
            <m:r>
              <m:t>d</m:t>
            </m:r>
          </m:e>
          <m:sub>
            <m:r>
              <m:t>z</m:t>
            </m:r>
          </m:sub>
        </m:sSub>
        <m:r>
          <m:rPr>
            <m:sty m:val="p"/>
          </m:rPr>
          <m:t>=</m:t>
        </m:r>
        <m:r>
          <m:t>.40</m:t>
        </m:r>
      </m:oMath>
      <w:r>
        <w:t xml:space="preserve">, 80% two-sided power at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.05</m:t>
        </m:r>
      </m:oMath>
      <w:r>
        <w:t xml:space="preserve">: 52 pairs. This is standardized mean change.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One-sample proportion:</w:t>
      </w:r>
      <w:r>
        <w:t xml:space="preserve"> </w:t>
      </w:r>
      <m:oMath>
        <m:sSub>
          <m:e>
            <m:r>
              <m:t>p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.30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.50</m:t>
        </m:r>
      </m:oMath>
      <w:r>
        <w:t xml:space="preserve">, 80% two-sided power at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.05</m:t>
        </m:r>
      </m:oMath>
      <w:r>
        <w:t xml:space="preserve">: 43 observations. This uses the exact-binomial rejection region.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Two independent proportions: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.30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.50</m:t>
        </m:r>
      </m:oMath>
      <w:r>
        <w:t xml:space="preserve">, 80% two-sided power at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.05</m:t>
        </m:r>
      </m:oMath>
      <w:r>
        <w:t xml:space="preserve">: a pooled-z normal-approximation benchmark, with a companion binomial simulation.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One-way ANOVA: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.25</m:t>
        </m:r>
      </m:oMath>
      <w:r>
        <w:t xml:space="preserve">, 3 groups, 80% power at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.05</m:t>
        </m:r>
      </m:oMath>
      <w:r>
        <w:t xml:space="preserve">: 159 observations (53 per group). This is an omnibus difference among means.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Overall linear regression:</w:t>
      </w:r>
      <w:r>
        <w:t xml:space="preserve"> </w:t>
      </w:r>
      <m:oMath>
        <m:sSup>
          <m:e>
            <m:r>
              <m:t>f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.15</m:t>
        </m:r>
      </m:oMath>
      <w:r>
        <w:t xml:space="preserve">, 3 predictors, 80% power at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.05</m:t>
        </m:r>
      </m:oMath>
      <w:r>
        <w:t xml:space="preserve">: 77 observations. This is the overall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test, not power for one coefficient.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Incremental regression:</w:t>
      </w:r>
      <w:r>
        <w:t xml:space="preserve"> </w:t>
      </w:r>
      <m:oMath>
        <m:sSup>
          <m:e>
            <m:r>
              <m:t>f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.15</m:t>
        </m:r>
      </m:oMath>
      <w:r>
        <w:t xml:space="preserve"> </w:t>
      </w:r>
      <w:r>
        <w:t xml:space="preserve">for one pre-specified predictor block after three covariates: a noncentral-F benchmark with a companion regression simulation.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Pearson correlation: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.20</m:t>
        </m:r>
      </m:oMath>
      <w:r>
        <w:t xml:space="preserve">, 80% two-sided power at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.05</m:t>
        </m:r>
      </m:oMath>
      <w:r>
        <w:t xml:space="preserve">: 194 observations. This uses the Fisher-z approximation.</w:t>
      </w:r>
    </w:p>
    <w:p>
      <w:pPr>
        <w:pStyle w:val="FirstParagraph"/>
      </w:pPr>
      <w:r>
        <w:t xml:space="preserve">The app also gives an attrition-adjusted recruitment figure. That protects the analysable sample size; it does not fix missing data that change the estimand or planned analysis.</w:t>
      </w:r>
    </w:p>
    <w:bookmarkEnd w:id="19"/>
    <w:bookmarkStart w:id="20" w:name="paired-observations-and-change-scores"/>
    <w:p>
      <w:pPr>
        <w:pStyle w:val="Heading2"/>
      </w:pPr>
      <w:r>
        <w:t xml:space="preserve">Paired observations and change scores</w:t>
      </w:r>
    </w:p>
    <w:p>
      <w:pPr>
        <w:pStyle w:val="FirstParagraph"/>
      </w:pPr>
      <w:r>
        <w:t xml:space="preserve">Use a paired t-test only when each observation at one occasion is meaningfully paired with one observation at another occasion or linked condition. The effect is</w:t>
      </w:r>
      <w:r>
        <w:t xml:space="preserve"> </w:t>
      </w:r>
      <m:oMath>
        <m:sSub>
          <m:e>
            <m:r>
              <m:t>d</m:t>
            </m:r>
          </m:e>
          <m:sub>
            <m:r>
              <m:t>z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mean within-person change</m:t>
        </m:r>
        <m:r>
          <m:rPr>
            <m:sty m:val="p"/>
          </m:rPr>
          <m:t>/</m:t>
        </m:r>
        <m:r>
          <m:rPr>
            <m:nor/>
            <m:sty m:val="p"/>
          </m:rPr>
          <m:t>SD of within-person change</m:t>
        </m:r>
      </m:oMath>
      <w:r>
        <w:t xml:space="preserve">. This is not interchangeable with a between-group</w:t>
      </w:r>
      <w:r>
        <w:t xml:space="preserve"> </w:t>
      </w:r>
      <m:oMath>
        <m:r>
          <m:t>d</m:t>
        </m:r>
      </m:oMath>
      <w:r>
        <w:t xml:space="preserve">. Correlation between repeated measures affects the SD of change scores and the mapping from a raw expected change to</w:t>
      </w:r>
      <w:r>
        <w:t xml:space="preserve"> </w:t>
      </w:r>
      <m:oMath>
        <m:sSub>
          <m:e>
            <m:r>
              <m:t>d</m:t>
            </m:r>
          </m:e>
          <m:sub>
            <m:r>
              <m:t>z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Preferred path:</w:t>
      </w:r>
      <w:r>
        <w:t xml:space="preserve"> </w:t>
      </w:r>
      <w:r>
        <w:t xml:space="preserve">the Studio paired-change option uses a noncentral-t reference and independently simulates change scores. A repeated-measures model, unequal time spacing, missing visits, or random effects require a simulation-first longitudinal plan.</w:t>
      </w:r>
    </w:p>
    <w:bookmarkEnd w:id="20"/>
    <w:bookmarkStart w:id="21" w:name="one-proportion"/>
    <w:p>
      <w:pPr>
        <w:pStyle w:val="Heading2"/>
      </w:pPr>
      <w:r>
        <w:t xml:space="preserve">One proportion</w:t>
      </w:r>
    </w:p>
    <w:p>
      <w:pPr>
        <w:pStyle w:val="FirstParagraph"/>
      </w:pPr>
      <w:r>
        <w:t xml:space="preserve">Power for a proportion needs two probabilities: null/reference</w:t>
      </w:r>
      <w:r>
        <w:t xml:space="preserve"> </w:t>
      </w:r>
      <m:oMath>
        <m:sSub>
          <m:e>
            <m:r>
              <m:t>p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the smallest alternative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worth detecting. The current one-proportion path uses an exact binomial rejection region, avoiding a silent normal approximation at small samples or boundary probabilities. Fix a one-sided direction before observing data; do not use it to ignore an adverse-direction result.</w:t>
      </w:r>
    </w:p>
    <w:p>
      <w:pPr>
        <w:pStyle w:val="BodyText"/>
      </w:pPr>
      <w:r>
        <w:t xml:space="preserve">The verified two-proportion option is a pooled-z normal approximation with independent binomial simulation. It should not be used for sparse, clustered, matched, or multi-category outcomes. Chi-square tables and clustered binary outcomes remain simulation-first extensions.</w:t>
      </w:r>
    </w:p>
    <w:bookmarkEnd w:id="21"/>
    <w:bookmarkStart w:id="22" w:name="one-way-anova"/>
    <w:p>
      <w:pPr>
        <w:pStyle w:val="Heading2"/>
      </w:pPr>
      <w:r>
        <w:t xml:space="preserve">One-way ANOVA</w:t>
      </w:r>
    </w:p>
    <w:p>
      <w:pPr>
        <w:pStyle w:val="FirstParagraph"/>
      </w:pPr>
      <w:r>
        <w:t xml:space="preserve">Cohen’s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SD of population group means divided by the common within-group SD. It is useful for a balanced omnibus F test, but it can hide the scientifically important pattern. State whether the decision rests on an omnibus test, a planned contrast, every pairwise comparison, or a trend. Include multiplicity control when it drives the conclusion. The verified path is limited to balanced groups and the omnibus F test.</w:t>
      </w:r>
    </w:p>
    <w:bookmarkEnd w:id="22"/>
    <w:bookmarkStart w:id="23" w:name="linear-regression"/>
    <w:p>
      <w:pPr>
        <w:pStyle w:val="Heading2"/>
      </w:pPr>
      <w:r>
        <w:t xml:space="preserve">Linear regression</w:t>
      </w:r>
    </w:p>
    <w:p>
      <w:pPr>
        <w:pStyle w:val="FirstParagraph"/>
      </w:pPr>
      <w:r>
        <w:t xml:space="preserve">For the overall regression model,</w:t>
      </w:r>
      <w:r>
        <w:t xml:space="preserve"> </w:t>
      </w:r>
      <m:oMath>
        <m:sSup>
          <m:e>
            <m:r>
              <m:t>f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. The current plan targets the F test of whether all stated predictors jointly explain variance.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provide power for a particular coefficient, incremental</w:t>
      </w:r>
      <w:r>
        <w:t xml:space="preserve"> </w:t>
      </w:r>
      <m:oMath>
        <m:r>
          <m:rPr>
            <m:sty m:val="p"/>
          </m:rPr>
          <m:t>Δ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, a moderation interaction, logistic regression, or realistic collinearity. Those require a separate estimand and usually a simulation.</w:t>
      </w:r>
    </w:p>
    <w:p>
      <w:pPr>
        <w:pStyle w:val="BodyText"/>
      </w:pPr>
      <w:r>
        <w:t xml:space="preserve">The analytic calculation uses a fixed-design noncentral-F approximation; its companion simulation uses independent normal predictors and errors. Agreement supports that stated benchmark, not every regression design.</w:t>
      </w:r>
    </w:p>
    <w:p>
      <w:pPr>
        <w:pStyle w:val="BodyText"/>
      </w:pPr>
      <w:r>
        <w:t xml:space="preserve">For an incremental block, the input is the additional</w:t>
      </w:r>
      <w:r>
        <w:t xml:space="preserve"> </w:t>
      </w:r>
      <m:oMath>
        <m:sSup>
          <m:e>
            <m:r>
              <m:t>f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after specified covariates and the number of predictors in both the tested block and the full model. This is the appropriate starting point for a pre-specified set of coefficients, but it still does not handle realistic collinearity or an interaction without a matching simulation. Studio explicitly displays whether its fixed-design reference and random-predictor simulation agree within Monte Carlo uncertainty; a disagreement is a prompt to use the simulation path, not a hidden defect.</w:t>
      </w:r>
    </w:p>
    <w:bookmarkEnd w:id="23"/>
    <w:bookmarkStart w:id="24" w:name="a-reporting-template"/>
    <w:p>
      <w:pPr>
        <w:pStyle w:val="Heading2"/>
      </w:pPr>
      <w:r>
        <w:t xml:space="preserve">A reporting template</w:t>
      </w:r>
    </w:p>
    <w:p>
      <w:pPr>
        <w:pStyle w:val="BlockText"/>
      </w:pPr>
      <w:r>
        <w:t xml:space="preserve">We planned for [analysable N] observations using [planned analysis] with a two-sided alpha of .05 and target power of [target]. The target effect was [parameter and value], justified by [SESOI, prior evidence, or plausible range]. The plan assumes [key allocation, dependence, distribution, multiplicity, and missingness assumptions]. We will recruit [recruitment N] to allow for [attrition percentage] attrition. We will report a sensitivity analysis across [credible effect range]. Do not replace that justification with an observed effect from the same data.</w:t>
      </w:r>
    </w:p>
    <w:bookmarkEnd w:id="24"/>
    <w:bookmarkEnd w:id="25"/>
    <w:bookmarkStart w:id="31" w:name="planning-strategy-and-edge-cases"/>
    <w:p>
      <w:pPr>
        <w:pStyle w:val="Heading1"/>
      </w:pPr>
      <w:r>
        <w:t xml:space="preserve">Planning strategy and edge cases</w:t>
      </w:r>
    </w:p>
    <w:bookmarkStart w:id="26" w:name="start-with-the-scientific-decision"/>
    <w:p>
      <w:pPr>
        <w:pStyle w:val="Heading2"/>
      </w:pPr>
      <w:r>
        <w:t xml:space="preserve">Start with the scientific decision</w:t>
      </w:r>
    </w:p>
    <w:p>
      <w:pPr>
        <w:pStyle w:val="FirstParagraph"/>
      </w:pPr>
      <w:r>
        <w:t xml:space="preserve">Power is a property of a complete proposed design and decision rule. It is not a quality score for a completed study and it is not determined by an effect size alone. Before opening a calculator, write one sentence:</w:t>
      </w:r>
      <w:r>
        <w:t xml:space="preserve"> </w:t>
      </w:r>
      <w:r>
        <w:rPr>
          <w:i/>
          <w:iCs/>
        </w:rPr>
        <w:t xml:space="preserve">If the data are consistent with [planned analysis] at [decision rule], we will treat an effect at least as large as [SESOI or justified target] as informative for [substantive decision].</w:t>
      </w:r>
    </w:p>
    <w:p>
      <w:pPr>
        <w:pStyle w:val="BodyText"/>
      </w:pPr>
      <w:r>
        <w:t xml:space="preserve">That sentence makes the hidden choices inspectable: estimand, analysis, tails, alpha, multiplicity, effect target, allocation, missingness, and what will change if the result is inconclusive.</w:t>
      </w:r>
    </w:p>
    <w:bookmarkEnd w:id="26"/>
    <w:bookmarkStart w:id="27" w:name="choosing-an-effect-target"/>
    <w:p>
      <w:pPr>
        <w:pStyle w:val="Heading2"/>
      </w:pPr>
      <w:r>
        <w:t xml:space="preserve">Choosing an effect target</w:t>
      </w:r>
    </w:p>
    <w:p>
      <w:pPr>
        <w:pStyle w:val="FirstParagraph"/>
      </w:pPr>
      <w:r>
        <w:t xml:space="preserve">Use the strongest available basis, in this order where possible: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Smallest effect size of interest (SESOI):</w:t>
      </w:r>
      <w:r>
        <w:t xml:space="preserve"> </w:t>
      </w:r>
      <w:r>
        <w:t xml:space="preserve">What change would justify changing theory, policy, practice, or the next research decision?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Direct prior evidence:</w:t>
      </w:r>
      <w:r>
        <w:t xml:space="preserve"> </w:t>
      </w:r>
      <w:r>
        <w:t xml:space="preserve">Prefer a high-quality, relevant synthesis or a registered replication target. Treat published estimates as uncertain and potentially selected.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Design or measurement constraints:</w:t>
      </w:r>
      <w:r>
        <w:t xml:space="preserve"> </w:t>
      </w:r>
      <w:r>
        <w:t xml:space="preserve">Translate a raw-scale threshold into the parameter used by the analysis, while retaining the raw-scale reasoning.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 plausible range:</w:t>
      </w:r>
      <w:r>
        <w:t xml:space="preserve"> </w:t>
      </w:r>
      <w:r>
        <w:t xml:space="preserve">When no single target is defensible, present required N across a range. The Studio sensitivity chart is designed for this situation.</w:t>
      </w:r>
    </w:p>
    <w:p>
      <w:pPr>
        <w:pStyle w:val="FirstParagraph"/>
      </w:pPr>
      <w:r>
        <w:t xml:space="preserve">Avoid selecting a target because it yields an affordable N. If N is fixed, use a sensitivity calculation to state the smallest effect it can detect under the planned rule.</w:t>
      </w:r>
    </w:p>
    <w:bookmarkEnd w:id="27"/>
    <w:bookmarkStart w:id="28" w:name="X3a3171d8ccc455bfc5fab21a18e4ac92f9cb612"/>
    <w:p>
      <w:pPr>
        <w:pStyle w:val="Heading2"/>
      </w:pPr>
      <w:r>
        <w:t xml:space="preserve">Power, precision, and assurance are different goals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Goal</w:t>
            </w:r>
          </w:p>
        </w:tc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Typical output</w:t>
            </w:r>
          </w:p>
        </w:tc>
        <w:tc>
          <w:tcPr/>
          <w:p>
            <w:pPr>
              <w:pStyle w:val="Compact"/>
            </w:pPr>
            <w:r>
              <w:t xml:space="preserve">Best 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Required-N power</w:t>
            </w:r>
          </w:p>
        </w:tc>
        <w:tc>
          <w:tcPr/>
          <w:p>
            <w:pPr>
              <w:pStyle w:val="Compact"/>
            </w:pPr>
            <w:r>
              <w:t xml:space="preserve">How often would this rule detect the target?</w:t>
            </w:r>
          </w:p>
        </w:tc>
        <w:tc>
          <w:tcPr/>
          <w:p>
            <w:pPr>
              <w:pStyle w:val="Compact"/>
            </w:pPr>
            <w:r>
              <w:t xml:space="preserve">N for 80%, 90%, or 95% power</w:t>
            </w:r>
          </w:p>
        </w:tc>
        <w:tc>
          <w:tcPr/>
          <w:p>
            <w:pPr>
              <w:pStyle w:val="Compact"/>
            </w:pPr>
            <w:r>
              <w:t xml:space="preserve">A pre-specified hypothesis test drives the decision.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Sensitivity</w:t>
            </w:r>
          </w:p>
        </w:tc>
        <w:tc>
          <w:tcPr/>
          <w:p>
            <w:pPr>
              <w:pStyle w:val="Compact"/>
            </w:pPr>
            <w:r>
              <w:t xml:space="preserve">What effect would the available sample detect?</w:t>
            </w:r>
          </w:p>
        </w:tc>
        <w:tc>
          <w:tcPr/>
          <w:p>
            <w:pPr>
              <w:pStyle w:val="Compact"/>
            </w:pPr>
            <w:r>
              <w:t xml:space="preserve">Minimum detectable effect</w:t>
            </w:r>
          </w:p>
        </w:tc>
        <w:tc>
          <w:tcPr/>
          <w:p>
            <w:pPr>
              <w:pStyle w:val="Compact"/>
            </w:pPr>
            <w:r>
              <w:t xml:space="preserve">N is constrained by a panel, registry, budget, or rare population.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Precision</w:t>
            </w:r>
          </w:p>
        </w:tc>
        <w:tc>
          <w:tcPr/>
          <w:p>
            <w:pPr>
              <w:pStyle w:val="Compact"/>
            </w:pPr>
            <w:r>
              <w:t xml:space="preserve">How narrow will an interval estimate be?</w:t>
            </w:r>
          </w:p>
        </w:tc>
        <w:tc>
          <w:tcPr/>
          <w:p>
            <w:pPr>
              <w:pStyle w:val="Compact"/>
            </w:pPr>
            <w:r>
              <w:t xml:space="preserve">Expected CI width or margin of error</w:t>
            </w:r>
          </w:p>
        </w:tc>
        <w:tc>
          <w:tcPr/>
          <w:p>
            <w:pPr>
              <w:pStyle w:val="Compact"/>
            </w:pPr>
            <w:r>
              <w:t xml:space="preserve">Estimation or equivalence is central.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Assurance</w:t>
            </w:r>
          </w:p>
        </w:tc>
        <w:tc>
          <w:tcPr/>
          <w:p>
            <w:pPr>
              <w:pStyle w:val="Compact"/>
            </w:pPr>
            <w:r>
              <w:t xml:space="preserve">How often does the plan succeed across uncertain inputs?</w:t>
            </w:r>
          </w:p>
        </w:tc>
        <w:tc>
          <w:tcPr/>
          <w:p>
            <w:pPr>
              <w:pStyle w:val="Compact"/>
            </w:pPr>
            <w:r>
              <w:t xml:space="preserve">Average power over a distribution</w:t>
            </w:r>
          </w:p>
        </w:tc>
        <w:tc>
          <w:tcPr/>
          <w:p>
            <w:pPr>
              <w:pStyle w:val="Compact"/>
            </w:pPr>
            <w:r>
              <w:t xml:space="preserve">A justified distribution for unknown inputs is available.</w:t>
            </w:r>
          </w:p>
        </w:tc>
      </w:tr>
    </w:tbl>
    <w:p>
      <w:pPr>
        <w:pStyle w:val="BodyText"/>
      </w:pPr>
      <w:r>
        <w:t xml:space="preserve">The verified core focuses on frequentist required-N planning and sensitivity displays. Precision, assurance, Bayesian, equivalence, and non-inferiority designs are part of the roadmap, not silently approximated by an ordinary power calculation.</w:t>
      </w:r>
    </w:p>
    <w:bookmarkEnd w:id="28"/>
    <w:bookmarkStart w:id="29" w:name="the-edge-case-checklist"/>
    <w:p>
      <w:pPr>
        <w:pStyle w:val="Heading2"/>
      </w:pPr>
      <w:r>
        <w:t xml:space="preserve">The edge-case checklist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Check</w:t>
            </w:r>
          </w:p>
        </w:tc>
        <w:tc>
          <w:tcPr/>
          <w:p>
            <w:pPr>
              <w:pStyle w:val="Compact"/>
            </w:pPr>
            <w:r>
              <w:t xml:space="preserve">Why it matters</w:t>
            </w:r>
          </w:p>
        </w:tc>
        <w:tc>
          <w:tcPr/>
          <w:p>
            <w:pPr>
              <w:pStyle w:val="Compact"/>
            </w:pPr>
            <w:r>
              <w:t xml:space="preserve">Safe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 the planned analysis exactly the one powered?</w:t>
            </w:r>
          </w:p>
        </w:tc>
        <w:tc>
          <w:tcPr/>
          <w:p>
            <w:pPr>
              <w:pStyle w:val="Compact"/>
            </w:pPr>
            <w:r>
              <w:t xml:space="preserve">A t test, regression coefficient, and mixed model answer different questions.</w:t>
            </w:r>
          </w:p>
        </w:tc>
        <w:tc>
          <w:tcPr/>
          <w:p>
            <w:pPr>
              <w:pStyle w:val="Compact"/>
            </w:pPr>
            <w:r>
              <w:t xml:space="preserve">Select the analysis, not only the study label.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Are groups unequal or variances heterogeneous?</w:t>
            </w:r>
          </w:p>
        </w:tc>
        <w:tc>
          <w:tcPr/>
          <w:p>
            <w:pPr>
              <w:pStyle w:val="Compact"/>
            </w:pPr>
            <w:r>
              <w:t xml:space="preserve">Allocation and Welch/pooled assumptions change power.</w:t>
            </w:r>
          </w:p>
        </w:tc>
        <w:tc>
          <w:tcPr/>
          <w:p>
            <w:pPr>
              <w:pStyle w:val="Compact"/>
            </w:pPr>
            <w:r>
              <w:t xml:space="preserve">State allocation; route uncertain variance structures to simulation.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Are observations paired, clustered, repeated, or crossed?</w:t>
            </w:r>
          </w:p>
        </w:tc>
        <w:tc>
          <w:tcPr/>
          <w:p>
            <w:pPr>
              <w:pStyle w:val="Compact"/>
            </w:pPr>
            <w:r>
              <w:t xml:space="preserve">Effective information is not the raw row count.</w:t>
            </w:r>
          </w:p>
        </w:tc>
        <w:tc>
          <w:tcPr/>
          <w:p>
            <w:pPr>
              <w:pStyle w:val="Compact"/>
            </w:pPr>
            <w:r>
              <w:t xml:space="preserve">Use paired planning only for paired change; simulate clustered/longitudinal paths.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Are there several primary tests or contrasts?</w:t>
            </w:r>
          </w:p>
        </w:tc>
        <w:tc>
          <w:tcPr/>
          <w:p>
            <w:pPr>
              <w:pStyle w:val="Compact"/>
            </w:pPr>
            <w:r>
              <w:t xml:space="preserve">Familywise control reduces per-test alpha.</w:t>
            </w:r>
          </w:p>
        </w:tc>
        <w:tc>
          <w:tcPr/>
          <w:p>
            <w:pPr>
              <w:pStyle w:val="Compact"/>
            </w:pPr>
            <w:r>
              <w:t xml:space="preserve">State the test family and use multiplicity adjustment where planned.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 attrition merely loss of rows, or informative missingness?</w:t>
            </w:r>
          </w:p>
        </w:tc>
        <w:tc>
          <w:tcPr/>
          <w:p>
            <w:pPr>
              <w:pStyle w:val="Compact"/>
            </w:pPr>
            <w:r>
              <w:t xml:space="preserve">Inflation protects N, not the estimand.</w:t>
            </w:r>
          </w:p>
        </w:tc>
        <w:tc>
          <w:tcPr/>
          <w:p>
            <w:pPr>
              <w:pStyle w:val="Compact"/>
            </w:pPr>
            <w:r>
              <w:t xml:space="preserve">Inflate recruitment only for stated attrition; model informative missingness separately.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 the outcome binary, count, ordinal, or bounded?</w:t>
            </w:r>
          </w:p>
        </w:tc>
        <w:tc>
          <w:tcPr/>
          <w:p>
            <w:pPr>
              <w:pStyle w:val="Compact"/>
            </w:pPr>
            <w:r>
              <w:t xml:space="preserve">Normal approximations can fail near boundaries or with sparse cells.</w:t>
            </w:r>
          </w:p>
        </w:tc>
        <w:tc>
          <w:tcPr/>
          <w:p>
            <w:pPr>
              <w:pStyle w:val="Compact"/>
            </w:pPr>
            <w:r>
              <w:t xml:space="preserve">Use an exact or simulation-first path.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Are predictors correlated or is the target one coefficient?</w:t>
            </w:r>
          </w:p>
        </w:tc>
        <w:tc>
          <w:tcPr/>
          <w:p>
            <w:pPr>
              <w:pStyle w:val="Compact"/>
            </w:pPr>
            <w:r>
              <w:t xml:space="preserve">Overall regression power is not coefficient or interaction power.</w:t>
            </w:r>
          </w:p>
        </w:tc>
        <w:tc>
          <w:tcPr/>
          <w:p>
            <w:pPr>
              <w:pStyle w:val="Compact"/>
            </w:pPr>
            <w:r>
              <w:t xml:space="preserve">Use a block-specific plan or simulate the predictor structure.</w:t>
            </w:r>
          </w:p>
        </w:tc>
      </w:tr>
    </w:tbl>
    <w:bookmarkEnd w:id="29"/>
    <w:bookmarkStart w:id="30" w:name="X3f9403a028750df9e66b0ac232c51f1f86dfa35"/>
    <w:p>
      <w:pPr>
        <w:pStyle w:val="Heading2"/>
      </w:pPr>
      <w:r>
        <w:t xml:space="preserve">Why observed/post-hoc power is not the default</w:t>
      </w:r>
    </w:p>
    <w:p>
      <w:pPr>
        <w:pStyle w:val="FirstParagraph"/>
      </w:pPr>
      <w:r>
        <w:t xml:space="preserve">Observed power is calculated from an estimate obtained from the same data. For common tests it is largely a re-expression of the p value and does not rescue an imprecise result. Report the estimate and confidence interval, design sensitivity, and prospective planning rationale instead.</w:t>
      </w:r>
    </w:p>
    <w:bookmarkEnd w:id="30"/>
    <w:bookmarkEnd w:id="31"/>
    <w:bookmarkStart w:id="40" w:name="reproducible-r-and-python-examples"/>
    <w:p>
      <w:pPr>
        <w:pStyle w:val="Heading1"/>
      </w:pPr>
      <w:r>
        <w:t xml:space="preserve">Reproducible R and Python examples</w:t>
      </w:r>
    </w:p>
    <w:bookmarkStart w:id="39" w:name="reproducible-code-principles"/>
    <w:p>
      <w:pPr>
        <w:pStyle w:val="Heading2"/>
      </w:pPr>
      <w:r>
        <w:t xml:space="preserve">Reproducible code: principles</w:t>
      </w:r>
    </w:p>
    <w:p>
      <w:pPr>
        <w:pStyle w:val="FirstParagraph"/>
      </w:pPr>
      <w:r>
        <w:t xml:space="preserve">The code below is tied to named parameters. A function call without its effect definition, tail, alpha, allocation, and planned analysis is not a reproducible power plan. Studio exports the same scenario as JSON and a readable report.</w:t>
      </w:r>
    </w:p>
    <w:bookmarkStart w:id="32" w:name="independent-groups-cohens-d"/>
    <w:p>
      <w:pPr>
        <w:pStyle w:val="Heading3"/>
      </w:pPr>
      <w:r>
        <w:t xml:space="preserve">Independent groups: Cohen’s</w:t>
      </w:r>
      <w:r>
        <w:t xml:space="preserve"> </w:t>
      </w:r>
      <w:r>
        <w:rPr>
          <w:i/>
          <w:iCs/>
        </w:rPr>
        <w:t xml:space="preserve">d</w:t>
      </w:r>
    </w:p>
    <w:p>
      <w:pPr>
        <w:pStyle w:val="FirstParagraph"/>
      </w:pPr>
      <w:r>
        <w:t xml:space="preserve">Use this only for a pooled-variance independent-samples t test with balanced groups. For unequal allocation, use the PowerBench scenario because the basic</w:t>
      </w:r>
      <w:r>
        <w:t xml:space="preserve"> </w:t>
      </w:r>
      <w:r>
        <w:rPr>
          <w:rStyle w:val="VerbatimChar"/>
        </w:rPr>
        <w:t xml:space="preserve">pwr</w:t>
      </w:r>
      <w:r>
        <w:t xml:space="preserve"> </w:t>
      </w:r>
      <w:r>
        <w:t xml:space="preserve">call assumes equal group sizes.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(pwr)</w:t>
      </w:r>
      <w:r>
        <w:br/>
      </w:r>
      <w:r>
        <w:rPr>
          <w:rStyle w:val="FunctionTok"/>
        </w:rPr>
        <w:t xml:space="preserve">pwr.t.test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sig.level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05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power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"two.sample"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alternative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"two.sided"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Ceiling n gives 100 analysable people per group (200 total).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statsmodels.stats.power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TTestIndPower</w:t>
      </w:r>
      <w:r>
        <w:br/>
      </w:r>
      <w:r>
        <w:rPr>
          <w:rStyle w:val="NormalTok"/>
        </w:rPr>
        <w:t xml:space="preserve">TTestIndPower().solve_power(effect_size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.40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.05</w:t>
      </w:r>
      <w:r>
        <w:rPr>
          <w:rStyle w:val="NormalTok"/>
        </w:rPr>
        <w:t xml:space="preserve">, power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.80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 ratio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alternative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"two-sided"</w:t>
      </w:r>
      <w:r>
        <w:rPr>
          <w:rStyle w:val="NormalTok"/>
        </w:rPr>
        <w:t xml:space="preserve">)</w:t>
      </w:r>
    </w:p>
    <w:bookmarkEnd w:id="32"/>
    <w:bookmarkStart w:id="33" w:name="paired-change-cohens-dz"/>
    <w:p>
      <w:pPr>
        <w:pStyle w:val="Heading3"/>
      </w:pPr>
      <w:r>
        <w:t xml:space="preserve">Paired change: Cohen’s</w:t>
      </w:r>
      <w:r>
        <w:t xml:space="preserve"> </w:t>
      </w:r>
      <w:r>
        <w:rPr>
          <w:i/>
          <w:iCs/>
        </w:rPr>
        <w:t xml:space="preserve">d</w:t>
      </w:r>
      <w:r>
        <w:t xml:space="preserve">z</w:t>
      </w:r>
    </w:p>
    <w:p>
      <w:pPr>
        <w:pStyle w:val="FirstParagraph"/>
      </w:pPr>
      <w:r>
        <w:rPr>
          <w:rStyle w:val="VerbatimChar"/>
        </w:rPr>
        <w:t xml:space="preserve">d_z</w:t>
      </w:r>
      <w:r>
        <w:t xml:space="preserve"> </w:t>
      </w:r>
      <w:r>
        <w:t xml:space="preserve">is the mean change divided by the SD of change scores. It is not a between-group d.</w:t>
      </w:r>
    </w:p>
    <w:p>
      <w:pPr>
        <w:pStyle w:val="SourceCode"/>
      </w:pPr>
      <w:r>
        <w:rPr>
          <w:rStyle w:val="FunctionTok"/>
        </w:rPr>
        <w:t xml:space="preserve">pwr.t.test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sig.level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05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power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"paired"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alternative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"two.sided"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statsmodels.stats.power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TTestPower</w:t>
      </w:r>
      <w:r>
        <w:br/>
      </w:r>
      <w:r>
        <w:rPr>
          <w:rStyle w:val="NormalTok"/>
        </w:rPr>
        <w:t xml:space="preserve">TTestPower().solve_power(effect_size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.40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.05</w:t>
      </w:r>
      <w:r>
        <w:rPr>
          <w:rStyle w:val="NormalTok"/>
        </w:rPr>
        <w:t xml:space="preserve">, power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.80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alternative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"two-sided"</w:t>
      </w:r>
      <w:r>
        <w:rPr>
          <w:rStyle w:val="NormalTok"/>
        </w:rPr>
        <w:t xml:space="preserve">)</w:t>
      </w:r>
    </w:p>
    <w:bookmarkEnd w:id="33"/>
    <w:bookmarkStart w:id="34" w:name="one-proportion-exact-decision-rule"/>
    <w:p>
      <w:pPr>
        <w:pStyle w:val="Heading3"/>
      </w:pPr>
      <w:r>
        <w:t xml:space="preserve">One proportion: exact decision rule</w:t>
      </w:r>
    </w:p>
    <w:p>
      <w:pPr>
        <w:pStyle w:val="FirstParagraph"/>
      </w:pPr>
      <w:r>
        <w:t xml:space="preserve">For small samples or probabilities near 0 or 1, define the actual binomial test and search for N rather than silently using a normal approximation.</w:t>
      </w:r>
    </w:p>
    <w:p>
      <w:pPr>
        <w:pStyle w:val="SourceCode"/>
      </w:pPr>
      <w:r>
        <w:rPr>
          <w:rStyle w:val="NormalTok"/>
        </w:rPr>
        <w:t xml:space="preserve">required_n_exact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(p0, p1, </w:t>
      </w:r>
      <w:r>
        <w:rPr>
          <w:rStyle w:val="AttributeTok"/>
        </w:rPr>
        <w:t xml:space="preserve">target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05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(n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20000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reject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n,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binom.test</w:t>
      </w:r>
      <w:r>
        <w:rPr>
          <w:rStyle w:val="NormalTok"/>
        </w:rPr>
        <w:t xml:space="preserve">(x, n, 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p0)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p.value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alpha)</w:t>
      </w:r>
      <w:r>
        <w:br/>
      </w:r>
      <w:r>
        <w:rPr>
          <w:rStyle w:val="NormalTok"/>
        </w:rPr>
        <w:t xml:space="preserve">    power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dbinom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which</w:t>
      </w:r>
      <w:r>
        <w:rPr>
          <w:rStyle w:val="NormalTok"/>
        </w:rPr>
        <w:t xml:space="preserve">(reject)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n, p1))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(power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target)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n, </w:t>
      </w:r>
      <w:r>
        <w:rPr>
          <w:rStyle w:val="AttributeTok"/>
        </w:rPr>
        <w:t xml:space="preserve">power =</w:t>
      </w:r>
      <w:r>
        <w:rPr>
          <w:rStyle w:val="NormalTok"/>
        </w:rPr>
        <w:t xml:space="preserve"> power))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FunctionTok"/>
        </w:rPr>
        <w:t xml:space="preserve">required_n_exact</w:t>
      </w:r>
      <w:r>
        <w:rPr>
          <w:rStyle w:val="NormalTok"/>
        </w:rPr>
        <w:t xml:space="preserve">(.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.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scipy.stats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binom, binomtest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exact_binomial_power(n, p0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.30</w:t>
      </w:r>
      <w:r>
        <w:rPr>
          <w:rStyle w:val="NormalTok"/>
        </w:rPr>
        <w:t xml:space="preserve">, p1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.50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.05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rejection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[x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binomtest(x, n, p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p0).pvalue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alpha]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binom.pmf(rejection, n, p1).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br/>
      </w:r>
      <w:r>
        <w:rPr>
          <w:rStyle w:val="BuiltInTok"/>
        </w:rPr>
        <w:t xml:space="preserve">next</w:t>
      </w:r>
      <w:r>
        <w:rPr>
          <w:rStyle w:val="NormalTok"/>
        </w:rPr>
        <w:t xml:space="preserve">(n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20001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exact_binomial_power(n)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.80</w:t>
      </w:r>
      <w:r>
        <w:rPr>
          <w:rStyle w:val="NormalTok"/>
        </w:rPr>
        <w:t xml:space="preserve">)</w:t>
      </w:r>
    </w:p>
    <w:bookmarkEnd w:id="34"/>
    <w:bookmarkStart w:id="35" w:name="two-independent-proportions"/>
    <w:p>
      <w:pPr>
        <w:pStyle w:val="Heading3"/>
      </w:pPr>
      <w:r>
        <w:t xml:space="preserve">Two independent proportions</w:t>
      </w:r>
    </w:p>
    <w:p>
      <w:pPr>
        <w:pStyle w:val="FirstParagraph"/>
      </w:pPr>
      <w:r>
        <w:t xml:space="preserve">This normal-approximation planning path targets a pooled two-proportion z test. It is not interchangeable with an odds ratio, logistic regression, clustered, or sparse-cell design.</w:t>
      </w:r>
    </w:p>
    <w:p>
      <w:pPr>
        <w:pStyle w:val="SourceCode"/>
      </w:pPr>
      <w:r>
        <w:rPr>
          <w:rStyle w:val="FunctionTok"/>
        </w:rPr>
        <w:t xml:space="preserve">power.prop.test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p1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p2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sig.level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05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AttributeTok"/>
        </w:rPr>
        <w:t xml:space="preserve">power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alternative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"two.sided"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statsmodels.stats.proportion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proportion_effectsize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statsmodels.stats.power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NormalIndPower</w:t>
      </w:r>
      <w:r>
        <w:br/>
      </w:r>
      <w:r>
        <w:rPr>
          <w:rStyle w:val="NormalTok"/>
        </w:rPr>
        <w:t xml:space="preserve">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proportion_effectsize(</w:t>
      </w:r>
      <w:r>
        <w:rPr>
          <w:rStyle w:val="FloatTok"/>
        </w:rPr>
        <w:t xml:space="preserve">.50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.30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NormalIndPower().solve_power(h,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.05</w:t>
      </w:r>
      <w:r>
        <w:rPr>
          <w:rStyle w:val="NormalTok"/>
        </w:rPr>
        <w:t xml:space="preserve">, power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.80</w:t>
      </w:r>
      <w:r>
        <w:rPr>
          <w:rStyle w:val="NormalTok"/>
        </w:rPr>
        <w:t xml:space="preserve">, ratio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 alternative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"two-sided"</w:t>
      </w:r>
      <w:r>
        <w:rPr>
          <w:rStyle w:val="NormalTok"/>
        </w:rPr>
        <w:t xml:space="preserve">)</w:t>
      </w:r>
    </w:p>
    <w:bookmarkEnd w:id="35"/>
    <w:bookmarkStart w:id="36" w:name="one-way-anova-omnibus-f-test"/>
    <w:p>
      <w:pPr>
        <w:pStyle w:val="Heading3"/>
      </w:pPr>
      <w:r>
        <w:t xml:space="preserve">One-way ANOVA: omnibus F test</w:t>
      </w:r>
    </w:p>
    <w:p>
      <w:pPr>
        <w:pStyle w:val="SourceCode"/>
      </w:pPr>
      <w:r>
        <w:rPr>
          <w:rStyle w:val="FunctionTok"/>
        </w:rPr>
        <w:t xml:space="preserve">pwr.anova.test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k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sig.level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05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power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Returned n is per group for a balanced omnibus test.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statsmodels.stats.power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FTestAnovaPower</w:t>
      </w:r>
      <w:r>
        <w:br/>
      </w:r>
      <w:r>
        <w:rPr>
          <w:rStyle w:val="NormalTok"/>
        </w:rPr>
        <w:t xml:space="preserve">FTestAnovaPower().solve_power(effect_size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.25</w:t>
      </w:r>
      <w:r>
        <w:rPr>
          <w:rStyle w:val="NormalTok"/>
        </w:rPr>
        <w:t xml:space="preserve">, k_groups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 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.05</w:t>
      </w:r>
      <w:r>
        <w:rPr>
          <w:rStyle w:val="NormalTok"/>
        </w:rPr>
        <w:t xml:space="preserve">, power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.80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If the decision rests on a contrast or pairwise comparison, power that contrast or simulate the complete multiplicity procedure.</w:t>
      </w:r>
    </w:p>
    <w:bookmarkEnd w:id="36"/>
    <w:bookmarkStart w:id="37" w:name="X147ebecdd1b7c57a8af6fb0d01ab34ad2605b85"/>
    <w:p>
      <w:pPr>
        <w:pStyle w:val="Heading3"/>
      </w:pPr>
      <w:r>
        <w:t xml:space="preserve">Linear regression: overall and incremental tests</w:t>
      </w:r>
    </w:p>
    <w:p>
      <w:pPr>
        <w:pStyle w:val="SourceCode"/>
      </w:pPr>
      <w:r>
        <w:rPr>
          <w:rStyle w:val="CommentTok"/>
        </w:rPr>
        <w:t xml:space="preserve"># Overall model with three predictors</w:t>
      </w:r>
      <w:r>
        <w:br/>
      </w:r>
      <w:r>
        <w:rPr>
          <w:rStyle w:val="FunctionTok"/>
        </w:rPr>
        <w:t xml:space="preserve">pwr.f2.test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u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f2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sig.level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05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power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One pre-specified predictor block after three covariates</w:t>
      </w:r>
      <w:r>
        <w:br/>
      </w:r>
      <w:r>
        <w:rPr>
          <w:rStyle w:val="FunctionTok"/>
        </w:rPr>
        <w:t xml:space="preserve">pwr.f2.test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u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f2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sig.level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05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power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statsmodels.stats.power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FTestPower</w:t>
      </w:r>
      <w:r>
        <w:br/>
      </w:r>
      <w:r>
        <w:rPr>
          <w:rStyle w:val="NormalTok"/>
        </w:rPr>
        <w:t xml:space="preserve">FTestPower().solve_power(effect_size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.15</w:t>
      </w:r>
      <w:r>
        <w:rPr>
          <w:rStyle w:val="NormalTok"/>
        </w:rPr>
        <w:t xml:space="preserve">, df_num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.05</w:t>
      </w:r>
      <w:r>
        <w:rPr>
          <w:rStyle w:val="NormalTok"/>
        </w:rPr>
        <w:t xml:space="preserve">, power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.80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For individual coefficients, interactions, correlated predictors, logistic regression, counts, or non-normal residuals, write a simulation whose data-generating process and fitted model match the protocol.</w:t>
      </w:r>
    </w:p>
    <w:bookmarkEnd w:id="37"/>
    <w:bookmarkStart w:id="38" w:name="pearson-correlation"/>
    <w:p>
      <w:pPr>
        <w:pStyle w:val="Heading3"/>
      </w:pPr>
      <w:r>
        <w:t xml:space="preserve">Pearson correlation</w:t>
      </w:r>
    </w:p>
    <w:p>
      <w:pPr>
        <w:pStyle w:val="SourceCode"/>
      </w:pPr>
      <w:r>
        <w:rPr>
          <w:rStyle w:val="FunctionTok"/>
        </w:rPr>
        <w:t xml:space="preserve">pwr.r.test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sig.level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05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power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AttributeTok"/>
        </w:rPr>
        <w:t xml:space="preserve">alternative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"two.sided"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CommentTok"/>
        </w:rPr>
        <w:t xml:space="preserve"># Use the Studio/PowerBench Fisher-z implementation for the canonical calculation.</w:t>
      </w:r>
      <w:r>
        <w:br/>
      </w:r>
      <w:r>
        <w:rPr>
          <w:rStyle w:val="CommentTok"/>
        </w:rPr>
        <w:t xml:space="preserve"># Record whether the planned analysis is Pearson, Spearman, partial, or regression.</w:t>
      </w:r>
    </w:p>
    <w:bookmarkEnd w:id="38"/>
    <w:bookmarkEnd w:id="39"/>
    <w:bookmarkEnd w:id="40"/>
    <w:bookmarkStart w:id="46" w:name="reporting-language-and-common-formats"/>
    <w:p>
      <w:pPr>
        <w:pStyle w:val="Heading1"/>
      </w:pPr>
      <w:r>
        <w:t xml:space="preserve">Reporting language and common formats</w:t>
      </w:r>
    </w:p>
    <w:bookmarkStart w:id="41" w:name="Xe9e36aa5ecaed343ca16785d1a62222b352c888"/>
    <w:p>
      <w:pPr>
        <w:pStyle w:val="Heading2"/>
      </w:pPr>
      <w:r>
        <w:t xml:space="preserve">What a power-analysis paragraph must communicate</w:t>
      </w:r>
    </w:p>
    <w:p>
      <w:pPr>
        <w:pStyle w:val="FirstParagraph"/>
      </w:pPr>
      <w:r>
        <w:t xml:space="preserve">A reader should be able to reconstruct the plan without guessing. State the planned analysis, effect parameter and its substantive basis, alpha/tails/multiplicity rule, target criterion, analysable N and allocation, attrition treatment, and design features that change information. “A power analysis indicated N = 100” is not sufficient.</w:t>
      </w:r>
    </w:p>
    <w:bookmarkEnd w:id="41"/>
    <w:bookmarkStart w:id="42" w:name="apa-7-style-methods-paragraph"/>
    <w:p>
      <w:pPr>
        <w:pStyle w:val="Heading2"/>
      </w:pPr>
      <w:r>
        <w:t xml:space="preserve">APA 7-style methods paragraph</w:t>
      </w:r>
    </w:p>
    <w:p>
      <w:pPr>
        <w:pStyle w:val="BlockText"/>
      </w:pPr>
      <w:r>
        <w:t xml:space="preserve">An a priori power analysis was conducted for a two-sided independent-samples t test. For a standardized mean difference of</w:t>
      </w:r>
      <w:r>
        <w:t xml:space="preserve"> </w:t>
      </w:r>
      <w:r>
        <w:rPr>
          <w:i/>
          <w:iCs/>
        </w:rPr>
        <w:t xml:space="preserve">d</w:t>
      </w:r>
      <w:r>
        <w:t xml:space="preserve"> </w:t>
      </w:r>
      <w:r>
        <w:t xml:space="preserve">= 0.40, [justify this target: SESOI/prior evidence/plausible range], alpha = .05, and 80% power, the required analysable sample was 200 participants (100 per group). We will recruit [N] to allow for [x%] attrition. The primary analysis, allocation, multiplicity rule, and sensitivity analysis are described in the preregistration.</w:t>
      </w:r>
    </w:p>
    <w:p>
      <w:pPr>
        <w:pStyle w:val="FirstParagraph"/>
      </w:pPr>
      <w:r>
        <w:t xml:space="preserve">This version names the test, parameter, decision rule, and allocation. It must not imply that the target effect was established by the calculation itself.</w:t>
      </w:r>
    </w:p>
    <w:bookmarkEnd w:id="42"/>
    <w:bookmarkStart w:id="43" w:name="amj-style-methods-prose"/>
    <w:p>
      <w:pPr>
        <w:pStyle w:val="Heading2"/>
      </w:pPr>
      <w:r>
        <w:t xml:space="preserve">AMJ-style methods prose</w:t>
      </w:r>
    </w:p>
    <w:p>
      <w:pPr>
        <w:pStyle w:val="BlockText"/>
      </w:pPr>
      <w:r>
        <w:t xml:space="preserve">We determined the target sample before data collection using the planned [analysis]. The design was powered for [effect parameter and value], selected because [substantive rationale], with [alpha/tails/multiplicity] and [target] power. This required [analysable N] observations ([allocation]). We planned to recruit [recruitment N] given anticipated attrition and report sensitivity analyses across [plausible range].</w:t>
      </w:r>
    </w:p>
    <w:p>
      <w:pPr>
        <w:pStyle w:val="FirstParagraph"/>
      </w:pPr>
      <w:r>
        <w:t xml:space="preserve">The AMJ-style version foregrounds design transparency and the substantive reason for the target. It is a methods paragraph, not a substitute for the outlet’s complete submission or citation rules.</w:t>
      </w:r>
    </w:p>
    <w:bookmarkEnd w:id="43"/>
    <w:bookmarkStart w:id="44" w:name="harvard-author-date-style-methods-prose"/>
    <w:p>
      <w:pPr>
        <w:pStyle w:val="Heading2"/>
      </w:pPr>
      <w:r>
        <w:t xml:space="preserve">Harvard author-date style methods prose</w:t>
      </w:r>
    </w:p>
    <w:p>
      <w:pPr>
        <w:pStyle w:val="BlockText"/>
      </w:pPr>
      <w:r>
        <w:t xml:space="preserve">Sample size was determined prospectively for the planned [analysis]. Assuming [effect parameter and value], [alpha/tails/multiplicity], and [target] power, [analysable N] participants were required. The effect target was based on [SESOI/prior evidence; cite the source in the required author-date format]. Recruitment was increased to [recruitment N] for anticipated attrition. Sensitivity analyses and all assumptions are reported alongside the main analysis.</w:t>
      </w:r>
    </w:p>
    <w:p>
      <w:pPr>
        <w:pStyle w:val="FirstParagraph"/>
      </w:pPr>
      <w:r>
        <w:t xml:space="preserve">The Harvard-style version makes the evidence basis explicitly citable. Replace the bracketed source description with the relevant study or synthesis and follow the outlet’s author-date rules.</w:t>
      </w:r>
    </w:p>
    <w:bookmarkEnd w:id="44"/>
    <w:bookmarkStart w:id="45" w:name="plain-language-protocol-version"/>
    <w:p>
      <w:pPr>
        <w:pStyle w:val="Heading2"/>
      </w:pPr>
      <w:r>
        <w:t xml:space="preserve">Plain-language protocol version</w:t>
      </w:r>
    </w:p>
    <w:p>
      <w:pPr>
        <w:pStyle w:val="BlockText"/>
      </w:pPr>
      <w:r>
        <w:t xml:space="preserve">We need enough usable data to have a good chance of detecting the smallest effect that would matter for this decision. Under the stated assumptions, that means [analysable N] usable observations. Because some data may be lost, we will recruit [recruitment N]. If the target effect is smaller than expected, the sensitivity analysis shows how the conclusion changes.</w:t>
      </w:r>
    </w:p>
    <w:p>
      <w:pPr>
        <w:pStyle w:val="FirstParagraph"/>
      </w:pPr>
      <w:r>
        <w:t xml:space="preserve">Plain language does not mean deleting assumptions; it means translating them while retaining the analysis and decision rule.</w:t>
      </w:r>
    </w:p>
    <w:bookmarkEnd w:id="45"/>
    <w:bookmarkEnd w:id="46"/>
    <w:bookmarkStart w:id="51" w:name="simulation-first-complex-designs"/>
    <w:p>
      <w:pPr>
        <w:pStyle w:val="Heading1"/>
      </w:pPr>
      <w:r>
        <w:t xml:space="preserve">Simulation-first complex designs</w:t>
      </w:r>
    </w:p>
    <w:bookmarkStart w:id="47" w:name="X7a2e2bf456d57b6d84b5369c0026585deaaf12e"/>
    <w:p>
      <w:pPr>
        <w:pStyle w:val="Heading2"/>
      </w:pPr>
      <w:r>
        <w:t xml:space="preserve">When simulation is the honest first choice</w:t>
      </w:r>
    </w:p>
    <w:p>
      <w:pPr>
        <w:pStyle w:val="FirstParagraph"/>
      </w:pPr>
      <w:r>
        <w:t xml:space="preserve">Use simulation when the proposed design cannot be truthfully reduced to a verified closed-form calculation: clustering, repeated observations, random effects, dropout, a non-normal outcome, unequal variances, multiple decision rules, a coefficient or interaction in correlated predictors, or a complex missing-data process.</w:t>
      </w:r>
    </w:p>
    <w:p>
      <w:pPr>
        <w:pStyle w:val="BodyText"/>
      </w:pPr>
      <w:r>
        <w:t xml:space="preserve">Simulation is not a black box. A usable simulation plan states: (1) the data-generating process; (2) every parameter and its source; (3) the fitted analysis model; (4) the decision rule; (5) the number of replications and Monte Carlo uncertainty; (6) convergence/failure handling; and (7) the code and random seed.</w:t>
      </w:r>
    </w:p>
    <w:bookmarkEnd w:id="47"/>
    <w:bookmarkStart w:id="48" w:name="minimal-simulation-protocol"/>
    <w:p>
      <w:pPr>
        <w:pStyle w:val="Heading2"/>
      </w:pPr>
      <w:r>
        <w:t xml:space="preserve">Minimal simulation protocol</w:t>
      </w:r>
    </w:p>
    <w:p>
      <w:pPr>
        <w:pStyle w:val="Compact"/>
        <w:numPr>
          <w:ilvl w:val="0"/>
          <w:numId w:val="1004"/>
        </w:numPr>
      </w:pPr>
      <w:r>
        <w:t xml:space="preserve">Write the analysis that will appear in the protocol before writing any simulation code.</w:t>
      </w:r>
    </w:p>
    <w:p>
      <w:pPr>
        <w:pStyle w:val="Compact"/>
        <w:numPr>
          <w:ilvl w:val="0"/>
          <w:numId w:val="1004"/>
        </w:numPr>
      </w:pPr>
      <w:r>
        <w:t xml:space="preserve">Create at least one null scenario and several plausible effect scenarios.</w:t>
      </w:r>
    </w:p>
    <w:p>
      <w:pPr>
        <w:pStyle w:val="Compact"/>
        <w:numPr>
          <w:ilvl w:val="0"/>
          <w:numId w:val="1004"/>
        </w:numPr>
      </w:pPr>
      <w:r>
        <w:t xml:space="preserve">Simulate data from each scenario, fit the planned model, and apply the exact planned decision rule.</w:t>
      </w:r>
    </w:p>
    <w:p>
      <w:pPr>
        <w:pStyle w:val="Compact"/>
        <w:numPr>
          <w:ilvl w:val="0"/>
          <w:numId w:val="1004"/>
        </w:numPr>
      </w:pPr>
      <w:r>
        <w:t xml:space="preserve">Report estimated Type-I error, power, failure/convergence rate, and Monte Carlo interval.</w:t>
      </w:r>
    </w:p>
    <w:p>
      <w:pPr>
        <w:pStyle w:val="Compact"/>
        <w:numPr>
          <w:ilvl w:val="0"/>
          <w:numId w:val="1004"/>
        </w:numPr>
      </w:pPr>
      <w:r>
        <w:t xml:space="preserve">Repeat over assumptions that are uncertain and decision-relevant; do not report only the most favorable case.</w:t>
      </w:r>
    </w:p>
    <w:bookmarkEnd w:id="48"/>
    <w:bookmarkStart w:id="49" w:name="r-template"/>
    <w:p>
      <w:pPr>
        <w:pStyle w:val="Heading2"/>
      </w:pPr>
      <w:r>
        <w:t xml:space="preserve">R template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20260718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estimate_power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n_sim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05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rejected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logical</w:t>
      </w:r>
      <w:r>
        <w:rPr>
          <w:rStyle w:val="NormalTok"/>
        </w:rPr>
        <w:t xml:space="preserve">(n_sim)</w:t>
      </w:r>
      <w:r>
        <w:br/>
      </w:r>
      <w:r>
        <w:rPr>
          <w:rStyle w:val="NormalTok"/>
        </w:rPr>
        <w:t xml:space="preserve">  failed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logical</w:t>
      </w:r>
      <w:r>
        <w:rPr>
          <w:rStyle w:val="NormalTok"/>
        </w:rPr>
        <w:t xml:space="preserve">(n_sim)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(i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(n_sim)) 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1. Generate data from the stated design, including clustering/missingness.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dat &lt;- simulate_design(...)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2. Fit exactly the planned model.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fit &lt;- planned_model(dat)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3. Extract the pre-specified test.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rejected[i] &lt;- p_value(fit) &lt; alpha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(rejected[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failed])</w:t>
      </w:r>
      <w:r>
        <w:br/>
      </w:r>
      <w:r>
        <w:rPr>
          <w:rStyle w:val="NormalTok"/>
        </w:rPr>
        <w:t xml:space="preserve">  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(p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failed))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power =</w:t>
      </w:r>
      <w:r>
        <w:rPr>
          <w:rStyle w:val="NormalTok"/>
        </w:rPr>
        <w:t xml:space="preserve"> p, </w:t>
      </w:r>
      <w:r>
        <w:rPr>
          <w:rStyle w:val="AttributeTok"/>
        </w:rPr>
        <w:t xml:space="preserve">mc_ci95 =</w:t>
      </w:r>
      <w:r>
        <w:rPr>
          <w:rStyle w:val="NormalTok"/>
        </w:rPr>
        <w:t xml:space="preserve"> 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1.96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se,</w:t>
      </w:r>
      <w:r>
        <w:br/>
      </w:r>
      <w:r>
        <w:rPr>
          <w:rStyle w:val="NormalTok"/>
        </w:rPr>
        <w:t xml:space="preserve">       </w:t>
      </w:r>
      <w:r>
        <w:rPr>
          <w:rStyle w:val="AttributeTok"/>
        </w:rPr>
        <w:t xml:space="preserve">failures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(failed), </w:t>
      </w:r>
      <w:r>
        <w:rPr>
          <w:rStyle w:val="AttributeTok"/>
        </w:rPr>
        <w:t xml:space="preserve">replications =</w:t>
      </w:r>
      <w:r>
        <w:rPr>
          <w:rStyle w:val="NormalTok"/>
        </w:rPr>
        <w:t xml:space="preserve"> n_sim)</w:t>
      </w:r>
      <w:r>
        <w:br/>
      </w:r>
      <w:r>
        <w:rPr>
          <w:rStyle w:val="NormalTok"/>
        </w:rPr>
        <w:t xml:space="preserve">}</w:t>
      </w:r>
    </w:p>
    <w:bookmarkEnd w:id="49"/>
    <w:bookmarkStart w:id="50" w:name="python-template"/>
    <w:p>
      <w:pPr>
        <w:pStyle w:val="Heading2"/>
      </w:pPr>
      <w:r>
        <w:t xml:space="preserve">Python template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NormalTok"/>
        </w:rPr>
        <w:t xml:space="preserve">rng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np.random.default_rng(</w:t>
      </w:r>
      <w:r>
        <w:rPr>
          <w:rStyle w:val="DecValTok"/>
        </w:rPr>
        <w:t xml:space="preserve">20260718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estimate_power(n_sim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.05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rejected, failures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(n_sim):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dat = simulate_design(rng, ...)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fit = planned_model(dat)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rejected += planned_p_value(fit) &lt; alpha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pass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Exception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failures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completed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n_sim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failures</w:t>
      </w:r>
      <w:r>
        <w:br/>
      </w:r>
      <w:r>
        <w:rPr>
          <w:rStyle w:val="NormalTok"/>
        </w:rPr>
        <w:t xml:space="preserve">    power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rejected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completed</w:t>
      </w:r>
      <w:r>
        <w:br/>
      </w:r>
      <w:r>
        <w:rPr>
          <w:rStyle w:val="NormalTok"/>
        </w:rPr>
        <w:t xml:space="preserve">    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(power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power)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completed)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FloatTok"/>
        </w:rPr>
        <w:t xml:space="preserve">.5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"power"</w:t>
      </w:r>
      <w:r>
        <w:rPr>
          <w:rStyle w:val="NormalTok"/>
        </w:rPr>
        <w:t xml:space="preserve">: power, </w:t>
      </w:r>
      <w:r>
        <w:rPr>
          <w:rStyle w:val="StringTok"/>
        </w:rPr>
        <w:t xml:space="preserve">"mc_ci95"</w:t>
      </w:r>
      <w:r>
        <w:rPr>
          <w:rStyle w:val="NormalTok"/>
        </w:rPr>
        <w:t xml:space="preserve">: (power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1.96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se, power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1.96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se),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"failures"</w:t>
      </w:r>
      <w:r>
        <w:rPr>
          <w:rStyle w:val="NormalTok"/>
        </w:rPr>
        <w:t xml:space="preserve">: failures, </w:t>
      </w:r>
      <w:r>
        <w:rPr>
          <w:rStyle w:val="StringTok"/>
        </w:rPr>
        <w:t xml:space="preserve">"replications"</w:t>
      </w:r>
      <w:r>
        <w:rPr>
          <w:rStyle w:val="NormalTok"/>
        </w:rPr>
        <w:t xml:space="preserve">: n_sim}</w:t>
      </w:r>
    </w:p>
    <w:p>
      <w:pPr>
        <w:pStyle w:val="FirstParagraph"/>
      </w:pPr>
      <w:r>
        <w:t xml:space="preserve">The templates are deliberately incomplete: the study-specific data-generating process and planned model are the scientific work. PowerBench will add verified adapters only when those choices can be represented explicitly.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 Analysis Collaborative Guide</dc:title>
  <dc:creator/>
  <cp:keywords/>
  <dcterms:created xsi:type="dcterms:W3CDTF">2026-07-18T15:33:45Z</dcterms:created>
  <dcterms:modified xsi:type="dcterms:W3CDTF">2026-07-18T15:33:45Z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ngines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subtitle">
    <vt:lpwstr>Benchmarked edition snapshot - v0.1</vt:lpwstr>
  </property>
  <property fmtid="{D5CDD505-2E9C-101B-9397-08002B2CF9AE}" pid="9" name="toc-title">
    <vt:lpwstr>Table of contents</vt:lpwstr>
  </property>
</Properties>
</file>